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560" w:lineRule="exact"/>
        <w:ind w:right="0"/>
        <w:jc w:val="both"/>
        <w:textAlignment w:val="auto"/>
        <w:outlineLvl w:val="9"/>
        <w:rPr>
          <w:rFonts w:hint="eastAsia" w:ascii="黑体" w:hAnsi="黑体" w:eastAsia="黑体" w:cs="仿宋_GB2312"/>
          <w:bCs/>
          <w:sz w:val="32"/>
          <w:szCs w:val="32"/>
          <w:lang w:val="en-US" w:eastAsia="zh-CN"/>
        </w:rPr>
      </w:pPr>
      <w:r>
        <w:rPr>
          <w:rFonts w:hint="eastAsia" w:ascii="黑体" w:hAnsi="黑体" w:eastAsia="黑体" w:cs="仿宋_GB2312"/>
          <w:bCs/>
          <w:sz w:val="32"/>
          <w:szCs w:val="32"/>
        </w:rPr>
        <w:t>附件</w:t>
      </w:r>
      <w:r>
        <w:rPr>
          <w:rFonts w:hint="eastAsia" w:ascii="黑体" w:hAnsi="黑体" w:eastAsia="黑体" w:cs="仿宋_GB2312"/>
          <w:bCs/>
          <w:sz w:val="32"/>
          <w:szCs w:val="32"/>
          <w:lang w:val="en-US" w:eastAsia="zh-CN"/>
        </w:rPr>
        <w:t>2</w:t>
      </w:r>
      <w:r>
        <w:rPr>
          <w:rFonts w:ascii="黑体" w:hAnsi="黑体" w:eastAsia="黑体" w:cs="仿宋_GB2312"/>
          <w:bCs/>
          <w:sz w:val="32"/>
          <w:szCs w:val="32"/>
        </w:rPr>
        <w:t>-</w:t>
      </w:r>
      <w:r>
        <w:rPr>
          <w:rFonts w:hint="eastAsia" w:ascii="黑体" w:hAnsi="黑体" w:eastAsia="黑体" w:cs="仿宋_GB2312"/>
          <w:bCs/>
          <w:sz w:val="32"/>
          <w:szCs w:val="32"/>
          <w:lang w:val="en-US" w:eastAsia="zh-CN"/>
        </w:rPr>
        <w:t>2</w:t>
      </w:r>
    </w:p>
    <w:p>
      <w:pPr>
        <w:keepNext w:val="0"/>
        <w:keepLines w:val="0"/>
        <w:pageBreakBefore w:val="0"/>
        <w:widowControl w:val="0"/>
        <w:kinsoku/>
        <w:wordWrap/>
        <w:overflowPunct w:val="0"/>
        <w:topLinePunct w:val="0"/>
        <w:autoSpaceDE/>
        <w:autoSpaceDN/>
        <w:bidi w:val="0"/>
        <w:adjustRightInd w:val="0"/>
        <w:snapToGrid/>
        <w:spacing w:line="560" w:lineRule="exact"/>
        <w:ind w:left="0" w:right="0" w:firstLine="0" w:firstLineChars="0"/>
        <w:jc w:val="center"/>
        <w:textAlignment w:val="auto"/>
        <w:outlineLvl w:val="9"/>
        <w:rPr>
          <w:rFonts w:ascii="方正小标宋简体" w:hAnsi="宋体" w:eastAsia="方正小标宋简体" w:cs="宋体"/>
          <w:color w:val="000000"/>
          <w:kern w:val="0"/>
          <w:sz w:val="44"/>
          <w:szCs w:val="44"/>
        </w:rPr>
      </w:pPr>
    </w:p>
    <w:p>
      <w:pPr>
        <w:keepNext w:val="0"/>
        <w:keepLines w:val="0"/>
        <w:pageBreakBefore w:val="0"/>
        <w:widowControl w:val="0"/>
        <w:kinsoku/>
        <w:wordWrap/>
        <w:overflowPunct w:val="0"/>
        <w:topLinePunct w:val="0"/>
        <w:autoSpaceDE/>
        <w:autoSpaceDN/>
        <w:bidi w:val="0"/>
        <w:adjustRightInd w:val="0"/>
        <w:snapToGrid/>
        <w:spacing w:line="560" w:lineRule="exact"/>
        <w:ind w:left="0" w:right="0" w:firstLine="0" w:firstLineChars="0"/>
        <w:jc w:val="center"/>
        <w:textAlignment w:val="auto"/>
        <w:outlineLvl w:val="9"/>
        <w:rPr>
          <w:rFonts w:hint="eastAsia" w:ascii="方正小标宋简体" w:hAnsi="宋体" w:eastAsia="方正小标宋简体" w:cs="宋体"/>
          <w:color w:val="000000"/>
          <w:kern w:val="0"/>
          <w:sz w:val="44"/>
          <w:szCs w:val="44"/>
        </w:rPr>
      </w:pPr>
      <w:r>
        <w:rPr>
          <w:rFonts w:hint="eastAsia" w:ascii="方正小标宋简体" w:hAnsi="宋体" w:eastAsia="方正小标宋简体" w:cs="宋体"/>
          <w:color w:val="000000"/>
          <w:kern w:val="0"/>
          <w:sz w:val="44"/>
          <w:szCs w:val="44"/>
        </w:rPr>
        <w:t>已上市化学药品变更事项及申报资料</w:t>
      </w:r>
    </w:p>
    <w:p>
      <w:pPr>
        <w:keepNext w:val="0"/>
        <w:keepLines w:val="0"/>
        <w:pageBreakBefore w:val="0"/>
        <w:widowControl w:val="0"/>
        <w:kinsoku/>
        <w:wordWrap/>
        <w:overflowPunct w:val="0"/>
        <w:topLinePunct w:val="0"/>
        <w:autoSpaceDE/>
        <w:autoSpaceDN/>
        <w:bidi w:val="0"/>
        <w:adjustRightInd w:val="0"/>
        <w:snapToGrid/>
        <w:spacing w:line="560" w:lineRule="exact"/>
        <w:ind w:left="0" w:right="0" w:firstLine="0" w:firstLineChars="0"/>
        <w:jc w:val="center"/>
        <w:textAlignment w:val="auto"/>
        <w:outlineLvl w:val="9"/>
        <w:rPr>
          <w:rFonts w:ascii="方正小标宋简体" w:hAnsi="宋体" w:eastAsia="方正小标宋简体" w:cs="宋体"/>
          <w:color w:val="000000"/>
          <w:kern w:val="0"/>
          <w:sz w:val="44"/>
          <w:szCs w:val="44"/>
        </w:rPr>
      </w:pPr>
      <w:r>
        <w:rPr>
          <w:rFonts w:hint="eastAsia" w:ascii="方正小标宋简体" w:hAnsi="宋体" w:eastAsia="方正小标宋简体" w:cs="宋体"/>
          <w:color w:val="000000"/>
          <w:kern w:val="0"/>
          <w:sz w:val="44"/>
          <w:szCs w:val="44"/>
        </w:rPr>
        <w:t>要求起草说明</w:t>
      </w:r>
    </w:p>
    <w:p>
      <w:pPr>
        <w:keepNext w:val="0"/>
        <w:keepLines w:val="0"/>
        <w:pageBreakBefore w:val="0"/>
        <w:widowControl w:val="0"/>
        <w:kinsoku/>
        <w:wordWrap/>
        <w:overflowPunct w:val="0"/>
        <w:topLinePunct w:val="0"/>
        <w:autoSpaceDE/>
        <w:autoSpaceDN/>
        <w:bidi w:val="0"/>
        <w:adjustRightInd w:val="0"/>
        <w:snapToGrid/>
        <w:spacing w:line="560" w:lineRule="exact"/>
        <w:ind w:left="0" w:right="0" w:firstLine="0" w:firstLineChars="0"/>
        <w:jc w:val="center"/>
        <w:textAlignment w:val="auto"/>
        <w:outlineLvl w:val="9"/>
        <w:rPr>
          <w:rFonts w:ascii="方正小标宋简体" w:hAnsi="宋体" w:eastAsia="方正小标宋简体" w:cs="宋体"/>
          <w:color w:val="000000"/>
          <w:kern w:val="0"/>
          <w:sz w:val="44"/>
          <w:szCs w:val="44"/>
        </w:rPr>
      </w:pPr>
    </w:p>
    <w:p>
      <w:pPr>
        <w:pStyle w:val="12"/>
        <w:keepNext w:val="0"/>
        <w:keepLines w:val="0"/>
        <w:pageBreakBefore w:val="0"/>
        <w:widowControl w:val="0"/>
        <w:numPr>
          <w:numId w:val="0"/>
        </w:numPr>
        <w:kinsoku/>
        <w:wordWrap/>
        <w:overflowPunct w:val="0"/>
        <w:topLinePunct w:val="0"/>
        <w:autoSpaceDE/>
        <w:autoSpaceDN/>
        <w:bidi w:val="0"/>
        <w:adjustRightInd/>
        <w:snapToGrid/>
        <w:spacing w:line="560" w:lineRule="exact"/>
        <w:ind w:leftChars="0" w:right="0" w:rightChars="0" w:firstLine="640" w:firstLineChars="200"/>
        <w:jc w:val="both"/>
        <w:textAlignment w:val="auto"/>
        <w:outlineLvl w:val="9"/>
        <w:rPr>
          <w:rFonts w:ascii="黑体" w:hAnsi="宋体" w:eastAsia="黑体" w:cs="宋体"/>
          <w:color w:val="000000"/>
          <w:kern w:val="0"/>
          <w:sz w:val="32"/>
          <w:szCs w:val="32"/>
        </w:rPr>
      </w:pPr>
      <w:r>
        <w:rPr>
          <w:rFonts w:hint="eastAsia" w:ascii="黑体" w:hAnsi="宋体" w:eastAsia="黑体" w:cs="宋体"/>
          <w:color w:val="000000"/>
          <w:kern w:val="0"/>
          <w:sz w:val="32"/>
          <w:szCs w:val="32"/>
          <w:lang w:eastAsia="zh-CN"/>
        </w:rPr>
        <w:t>一、</w:t>
      </w:r>
      <w:r>
        <w:rPr>
          <w:rFonts w:hint="eastAsia" w:ascii="黑体" w:hAnsi="宋体" w:eastAsia="黑体" w:cs="宋体"/>
          <w:color w:val="000000"/>
          <w:kern w:val="0"/>
          <w:sz w:val="32"/>
          <w:szCs w:val="32"/>
        </w:rPr>
        <w:t>起草背景</w:t>
      </w:r>
    </w:p>
    <w:p>
      <w:pPr>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outlineLvl w:val="9"/>
        <w:rPr>
          <w:rFonts w:eastAsia="仿宋_GB2312"/>
          <w:sz w:val="32"/>
          <w:szCs w:val="32"/>
        </w:rPr>
      </w:pPr>
      <w:r>
        <w:rPr>
          <w:rFonts w:hint="eastAsia" w:eastAsia="仿宋_GB2312"/>
          <w:sz w:val="32"/>
          <w:szCs w:val="32"/>
        </w:rPr>
        <w:t>《药品管理法》第七十九条规定对药品生产过程中的变更，按照其对药品安全性、有效性和质量可控性的风险和产生影响的程度，实行分类管理。新修订的《药品注册管理办法》规定：按照变更对药品安全性、有效性和质量可控性的风险和产生影响的程度，实行分类管理，分为审</w:t>
      </w:r>
      <w:bookmarkStart w:id="0" w:name="_GoBack"/>
      <w:bookmarkEnd w:id="0"/>
      <w:r>
        <w:rPr>
          <w:rFonts w:hint="eastAsia" w:eastAsia="仿宋_GB2312"/>
          <w:sz w:val="32"/>
          <w:szCs w:val="32"/>
        </w:rPr>
        <w:t>批类变更、备案类变更和报告类变更。本文件为新修订的《药品注册管理办法》配套文件。已上市药品变更是持有人对药品实施全生命周期管理的重要组成部分。</w:t>
      </w:r>
    </w:p>
    <w:p>
      <w:pPr>
        <w:pStyle w:val="12"/>
        <w:keepNext w:val="0"/>
        <w:keepLines w:val="0"/>
        <w:pageBreakBefore w:val="0"/>
        <w:widowControl w:val="0"/>
        <w:numPr>
          <w:numId w:val="0"/>
        </w:numPr>
        <w:kinsoku/>
        <w:wordWrap/>
        <w:overflowPunct w:val="0"/>
        <w:topLinePunct w:val="0"/>
        <w:autoSpaceDE/>
        <w:autoSpaceDN/>
        <w:bidi w:val="0"/>
        <w:adjustRightInd/>
        <w:snapToGrid/>
        <w:spacing w:line="560" w:lineRule="exact"/>
        <w:ind w:leftChars="0" w:right="0" w:rightChars="0" w:firstLine="640" w:firstLineChars="200"/>
        <w:jc w:val="both"/>
        <w:textAlignment w:val="auto"/>
        <w:outlineLvl w:val="9"/>
        <w:rPr>
          <w:rFonts w:ascii="黑体" w:hAnsi="宋体" w:eastAsia="黑体" w:cs="宋体"/>
          <w:color w:val="000000"/>
          <w:kern w:val="0"/>
          <w:sz w:val="32"/>
          <w:szCs w:val="32"/>
        </w:rPr>
      </w:pPr>
      <w:r>
        <w:rPr>
          <w:rFonts w:hint="eastAsia" w:ascii="黑体" w:hAnsi="宋体" w:eastAsia="黑体" w:cs="宋体"/>
          <w:color w:val="000000"/>
          <w:kern w:val="0"/>
          <w:sz w:val="32"/>
          <w:szCs w:val="32"/>
          <w:lang w:eastAsia="zh-CN"/>
        </w:rPr>
        <w:t>二、</w:t>
      </w:r>
      <w:r>
        <w:rPr>
          <w:rFonts w:hint="eastAsia" w:ascii="黑体" w:hAnsi="宋体" w:eastAsia="黑体" w:cs="宋体"/>
          <w:color w:val="000000"/>
          <w:kern w:val="0"/>
          <w:sz w:val="32"/>
          <w:szCs w:val="32"/>
        </w:rPr>
        <w:t>起草思路</w:t>
      </w:r>
    </w:p>
    <w:p>
      <w:pPr>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outlineLvl w:val="9"/>
        <w:rPr>
          <w:rFonts w:eastAsia="仿宋_GB2312"/>
          <w:sz w:val="32"/>
          <w:szCs w:val="32"/>
        </w:rPr>
      </w:pPr>
      <w:r>
        <w:rPr>
          <w:rFonts w:hint="eastAsia" w:eastAsia="仿宋_GB2312"/>
          <w:sz w:val="32"/>
          <w:szCs w:val="32"/>
        </w:rPr>
        <w:t>考虑到新修订办法不再保留原办法中附件4药品补充申请注册事项及申报资料要求的相关内容，</w:t>
      </w:r>
      <w:r>
        <w:rPr>
          <w:rFonts w:hint="eastAsia" w:ascii="仿宋_GB2312" w:hAnsi="宋体" w:eastAsia="仿宋_GB2312" w:cs="宋体"/>
          <w:color w:val="000000"/>
          <w:kern w:val="0"/>
          <w:sz w:val="32"/>
          <w:szCs w:val="32"/>
        </w:rPr>
        <w:t>《已上市化学药品变更事项及申报资料要求》应</w:t>
      </w:r>
      <w:r>
        <w:rPr>
          <w:rFonts w:hint="eastAsia" w:eastAsia="仿宋_GB2312"/>
          <w:sz w:val="32"/>
          <w:szCs w:val="32"/>
        </w:rPr>
        <w:t>对《药品注册管理办法》有关化学药品上市后变更的类型、申报资料要求进行明确，同时与已上市化学药品药学、临床变更等技术指导原则以及上市后变更受理审查指南进行有序衔接。围绕《药品注册管理办法》对上市后变更的规定形成有效的文件体系，指导持有人开展药品上市后变更研究申报。</w:t>
      </w:r>
    </w:p>
    <w:p>
      <w:pPr>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outlineLvl w:val="9"/>
        <w:rPr>
          <w:rFonts w:eastAsia="仿宋_GB2312"/>
          <w:sz w:val="32"/>
          <w:szCs w:val="32"/>
        </w:rPr>
      </w:pPr>
      <w:r>
        <w:rPr>
          <w:rFonts w:hint="eastAsia" w:eastAsia="仿宋_GB2312"/>
          <w:sz w:val="32"/>
          <w:szCs w:val="32"/>
        </w:rPr>
        <w:t>在申报资料要求方面，原办法附件4的申报资料要求经多年实践证明能够较好满足补充申请申报审评需要，因此仍延续其框架结构和主要内容。</w:t>
      </w:r>
    </w:p>
    <w:p>
      <w:pPr>
        <w:pStyle w:val="12"/>
        <w:keepNext w:val="0"/>
        <w:keepLines w:val="0"/>
        <w:pageBreakBefore w:val="0"/>
        <w:widowControl w:val="0"/>
        <w:numPr>
          <w:numId w:val="0"/>
        </w:numPr>
        <w:kinsoku/>
        <w:wordWrap/>
        <w:overflowPunct w:val="0"/>
        <w:topLinePunct w:val="0"/>
        <w:autoSpaceDE/>
        <w:autoSpaceDN/>
        <w:bidi w:val="0"/>
        <w:adjustRightInd/>
        <w:snapToGrid/>
        <w:spacing w:line="560" w:lineRule="exact"/>
        <w:ind w:leftChars="0" w:right="0" w:rightChars="0" w:firstLine="640" w:firstLineChars="200"/>
        <w:jc w:val="both"/>
        <w:textAlignment w:val="auto"/>
        <w:outlineLvl w:val="9"/>
        <w:rPr>
          <w:rFonts w:ascii="黑体" w:hAnsi="宋体" w:eastAsia="黑体" w:cs="宋体"/>
          <w:color w:val="000000"/>
          <w:kern w:val="0"/>
          <w:sz w:val="32"/>
          <w:szCs w:val="32"/>
        </w:rPr>
      </w:pPr>
      <w:r>
        <w:rPr>
          <w:rFonts w:hint="eastAsia" w:ascii="黑体" w:hAnsi="宋体" w:eastAsia="黑体" w:cs="宋体"/>
          <w:color w:val="000000"/>
          <w:kern w:val="0"/>
          <w:sz w:val="32"/>
          <w:szCs w:val="32"/>
          <w:lang w:eastAsia="zh-CN"/>
        </w:rPr>
        <w:t>三、</w:t>
      </w:r>
      <w:r>
        <w:rPr>
          <w:rFonts w:hint="eastAsia" w:ascii="黑体" w:hAnsi="宋体" w:eastAsia="黑体" w:cs="宋体"/>
          <w:color w:val="000000"/>
          <w:kern w:val="0"/>
          <w:sz w:val="32"/>
          <w:szCs w:val="32"/>
        </w:rPr>
        <w:t>主要内容</w:t>
      </w:r>
    </w:p>
    <w:p>
      <w:pPr>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outlineLvl w:val="9"/>
        <w:rPr>
          <w:rFonts w:eastAsia="仿宋_GB2312"/>
          <w:sz w:val="32"/>
          <w:szCs w:val="32"/>
        </w:rPr>
      </w:pPr>
      <w:r>
        <w:rPr>
          <w:rFonts w:hint="eastAsia" w:eastAsia="仿宋_GB2312"/>
          <w:sz w:val="32"/>
          <w:szCs w:val="32"/>
        </w:rPr>
        <w:t>（一）关于变更分类。根据《药品注册管理办法》分为国家药品监管部门审批的补充申请事项、国家或省级药品监管部门备案事项及年报事项三类。根据药学和临床变更技术指导原则将相应级别变更纳入对应分类，同时增加了无需技术审评，未纳入技术指导原则的事项，如使用药品商品名、改变不涉及技术审评的药品注册证载明信息等。</w:t>
      </w:r>
    </w:p>
    <w:p>
      <w:pPr>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outlineLvl w:val="9"/>
        <w:rPr>
          <w:rFonts w:eastAsia="仿宋_GB2312"/>
          <w:sz w:val="32"/>
          <w:szCs w:val="32"/>
        </w:rPr>
      </w:pPr>
      <w:r>
        <w:rPr>
          <w:rFonts w:hint="eastAsia" w:eastAsia="仿宋_GB2312"/>
          <w:sz w:val="32"/>
          <w:szCs w:val="32"/>
        </w:rPr>
        <w:t>（二）关于申报资料要求。共有6项：药品注册证书及其附件的复印件、证明性文件、检查相关信息、药学研究资料、药理毒理研究资料、临床研究资料。</w:t>
      </w:r>
    </w:p>
    <w:sectPr>
      <w:footerReference r:id="rId3" w:type="default"/>
      <w:pgSz w:w="11906" w:h="16838"/>
      <w:pgMar w:top="1928" w:right="1531" w:bottom="1814"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282954"/>
      <w:docPartObj>
        <w:docPartGallery w:val="autotext"/>
      </w:docPartObj>
    </w:sdtPr>
    <w:sdtContent>
      <w:p>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2036"/>
    <w:rsid w:val="00006326"/>
    <w:rsid w:val="00054C21"/>
    <w:rsid w:val="00055A93"/>
    <w:rsid w:val="00071DD1"/>
    <w:rsid w:val="0008101F"/>
    <w:rsid w:val="000B7C3B"/>
    <w:rsid w:val="00132128"/>
    <w:rsid w:val="00146F9B"/>
    <w:rsid w:val="001632CC"/>
    <w:rsid w:val="00173BA5"/>
    <w:rsid w:val="00190BC2"/>
    <w:rsid w:val="001948D0"/>
    <w:rsid w:val="001D2394"/>
    <w:rsid w:val="001E12C1"/>
    <w:rsid w:val="001E33A8"/>
    <w:rsid w:val="00207AF4"/>
    <w:rsid w:val="002216EE"/>
    <w:rsid w:val="00224407"/>
    <w:rsid w:val="00244E82"/>
    <w:rsid w:val="00267102"/>
    <w:rsid w:val="0027141C"/>
    <w:rsid w:val="0028350F"/>
    <w:rsid w:val="00286BDF"/>
    <w:rsid w:val="0029605A"/>
    <w:rsid w:val="002D4B3F"/>
    <w:rsid w:val="002E6F57"/>
    <w:rsid w:val="003354BF"/>
    <w:rsid w:val="0033649D"/>
    <w:rsid w:val="0038393C"/>
    <w:rsid w:val="003A4180"/>
    <w:rsid w:val="003B6B4F"/>
    <w:rsid w:val="003D3932"/>
    <w:rsid w:val="004211F4"/>
    <w:rsid w:val="00421BEB"/>
    <w:rsid w:val="00421C64"/>
    <w:rsid w:val="0042394F"/>
    <w:rsid w:val="00426514"/>
    <w:rsid w:val="00446802"/>
    <w:rsid w:val="00446968"/>
    <w:rsid w:val="00460B51"/>
    <w:rsid w:val="00474181"/>
    <w:rsid w:val="00491041"/>
    <w:rsid w:val="00493D6A"/>
    <w:rsid w:val="004A06C2"/>
    <w:rsid w:val="004A52EE"/>
    <w:rsid w:val="004C24C1"/>
    <w:rsid w:val="004F4B4B"/>
    <w:rsid w:val="005132B8"/>
    <w:rsid w:val="00540269"/>
    <w:rsid w:val="005416B4"/>
    <w:rsid w:val="0054182F"/>
    <w:rsid w:val="00545E3A"/>
    <w:rsid w:val="00562036"/>
    <w:rsid w:val="00585D5B"/>
    <w:rsid w:val="005C0BBE"/>
    <w:rsid w:val="005C19FC"/>
    <w:rsid w:val="005C1ADE"/>
    <w:rsid w:val="005F6195"/>
    <w:rsid w:val="00604F91"/>
    <w:rsid w:val="00656652"/>
    <w:rsid w:val="00667D4A"/>
    <w:rsid w:val="006769F4"/>
    <w:rsid w:val="006A4E49"/>
    <w:rsid w:val="006A7E76"/>
    <w:rsid w:val="006B17B3"/>
    <w:rsid w:val="006C18C2"/>
    <w:rsid w:val="006E573E"/>
    <w:rsid w:val="00700BA7"/>
    <w:rsid w:val="00772AE4"/>
    <w:rsid w:val="00787FED"/>
    <w:rsid w:val="00790C92"/>
    <w:rsid w:val="00793670"/>
    <w:rsid w:val="007C0F38"/>
    <w:rsid w:val="007C24B7"/>
    <w:rsid w:val="007E04D4"/>
    <w:rsid w:val="007F515D"/>
    <w:rsid w:val="008169F3"/>
    <w:rsid w:val="00835810"/>
    <w:rsid w:val="00864D06"/>
    <w:rsid w:val="0087229A"/>
    <w:rsid w:val="00874D0A"/>
    <w:rsid w:val="00881B34"/>
    <w:rsid w:val="008A147D"/>
    <w:rsid w:val="008A2A87"/>
    <w:rsid w:val="008A3EF7"/>
    <w:rsid w:val="008C6DB0"/>
    <w:rsid w:val="008C781F"/>
    <w:rsid w:val="008D298D"/>
    <w:rsid w:val="008F34A7"/>
    <w:rsid w:val="00900C43"/>
    <w:rsid w:val="00902C6E"/>
    <w:rsid w:val="009557AC"/>
    <w:rsid w:val="00955C4D"/>
    <w:rsid w:val="00955DC5"/>
    <w:rsid w:val="0098396F"/>
    <w:rsid w:val="009C3507"/>
    <w:rsid w:val="00A5016E"/>
    <w:rsid w:val="00A52915"/>
    <w:rsid w:val="00A5612B"/>
    <w:rsid w:val="00A80E84"/>
    <w:rsid w:val="00A86C5C"/>
    <w:rsid w:val="00AB0D27"/>
    <w:rsid w:val="00AE217E"/>
    <w:rsid w:val="00AE4F6F"/>
    <w:rsid w:val="00AF03C2"/>
    <w:rsid w:val="00B03243"/>
    <w:rsid w:val="00B04990"/>
    <w:rsid w:val="00B11A2A"/>
    <w:rsid w:val="00B21659"/>
    <w:rsid w:val="00B4674F"/>
    <w:rsid w:val="00BA034F"/>
    <w:rsid w:val="00BB388B"/>
    <w:rsid w:val="00BB5B59"/>
    <w:rsid w:val="00BD376F"/>
    <w:rsid w:val="00BD65C4"/>
    <w:rsid w:val="00BE1269"/>
    <w:rsid w:val="00BE1DFB"/>
    <w:rsid w:val="00BE5900"/>
    <w:rsid w:val="00C605FB"/>
    <w:rsid w:val="00C62DD8"/>
    <w:rsid w:val="00C804A2"/>
    <w:rsid w:val="00CA5CE6"/>
    <w:rsid w:val="00D0604C"/>
    <w:rsid w:val="00D149F7"/>
    <w:rsid w:val="00D27F8D"/>
    <w:rsid w:val="00DA0C8A"/>
    <w:rsid w:val="00DA1507"/>
    <w:rsid w:val="00DB6EA0"/>
    <w:rsid w:val="00DC4922"/>
    <w:rsid w:val="00E06D2A"/>
    <w:rsid w:val="00E15798"/>
    <w:rsid w:val="00E16A6F"/>
    <w:rsid w:val="00E32330"/>
    <w:rsid w:val="00E70185"/>
    <w:rsid w:val="00EC2DB6"/>
    <w:rsid w:val="00EC5A72"/>
    <w:rsid w:val="00EF42D3"/>
    <w:rsid w:val="00EF620D"/>
    <w:rsid w:val="00F3589E"/>
    <w:rsid w:val="00FE7036"/>
    <w:rsid w:val="00FF1F03"/>
    <w:rsid w:val="00FF37EE"/>
    <w:rsid w:val="01015EA1"/>
    <w:rsid w:val="039D23B1"/>
    <w:rsid w:val="047E6E82"/>
    <w:rsid w:val="08D6278A"/>
    <w:rsid w:val="0B4207FF"/>
    <w:rsid w:val="0CDF56B2"/>
    <w:rsid w:val="0E072FF6"/>
    <w:rsid w:val="10F62ED0"/>
    <w:rsid w:val="15F835AE"/>
    <w:rsid w:val="1A6A166B"/>
    <w:rsid w:val="1CA3797B"/>
    <w:rsid w:val="20137B24"/>
    <w:rsid w:val="21D672DD"/>
    <w:rsid w:val="228B72A5"/>
    <w:rsid w:val="2399186B"/>
    <w:rsid w:val="24096BE9"/>
    <w:rsid w:val="24593D07"/>
    <w:rsid w:val="26D522EE"/>
    <w:rsid w:val="27BD5DE4"/>
    <w:rsid w:val="27E22C5E"/>
    <w:rsid w:val="29AF54E2"/>
    <w:rsid w:val="2A21130E"/>
    <w:rsid w:val="2A4572B7"/>
    <w:rsid w:val="2B6440DE"/>
    <w:rsid w:val="2DEE7F4F"/>
    <w:rsid w:val="2EFC6778"/>
    <w:rsid w:val="311363D1"/>
    <w:rsid w:val="349C2990"/>
    <w:rsid w:val="36B90A16"/>
    <w:rsid w:val="378D2EDA"/>
    <w:rsid w:val="399D1863"/>
    <w:rsid w:val="39F84B58"/>
    <w:rsid w:val="39FC7338"/>
    <w:rsid w:val="3A2E08BA"/>
    <w:rsid w:val="3B052702"/>
    <w:rsid w:val="3B1403F4"/>
    <w:rsid w:val="3D507BAB"/>
    <w:rsid w:val="3D62456A"/>
    <w:rsid w:val="3E8B1018"/>
    <w:rsid w:val="3F09141D"/>
    <w:rsid w:val="3F6B07E2"/>
    <w:rsid w:val="42D80FEC"/>
    <w:rsid w:val="42F51090"/>
    <w:rsid w:val="43637451"/>
    <w:rsid w:val="43AC4253"/>
    <w:rsid w:val="469D2766"/>
    <w:rsid w:val="472B67A6"/>
    <w:rsid w:val="49687579"/>
    <w:rsid w:val="4A6267BB"/>
    <w:rsid w:val="4BAB0AE1"/>
    <w:rsid w:val="4E4B5569"/>
    <w:rsid w:val="50EE5C80"/>
    <w:rsid w:val="513960DF"/>
    <w:rsid w:val="51407B23"/>
    <w:rsid w:val="5596004E"/>
    <w:rsid w:val="55C76993"/>
    <w:rsid w:val="583C3F0A"/>
    <w:rsid w:val="5AC75037"/>
    <w:rsid w:val="5BD320B9"/>
    <w:rsid w:val="5D3A37E1"/>
    <w:rsid w:val="5D814B16"/>
    <w:rsid w:val="5E0D7ECA"/>
    <w:rsid w:val="5E53043E"/>
    <w:rsid w:val="63336D4D"/>
    <w:rsid w:val="634B0264"/>
    <w:rsid w:val="66053345"/>
    <w:rsid w:val="66BB4C29"/>
    <w:rsid w:val="67B166B4"/>
    <w:rsid w:val="695F2153"/>
    <w:rsid w:val="699C0827"/>
    <w:rsid w:val="69BC3CDB"/>
    <w:rsid w:val="6AA6008C"/>
    <w:rsid w:val="6B2B7882"/>
    <w:rsid w:val="6C254433"/>
    <w:rsid w:val="6C807366"/>
    <w:rsid w:val="6D361568"/>
    <w:rsid w:val="6D9A03A3"/>
    <w:rsid w:val="6DD138AF"/>
    <w:rsid w:val="6E7C0F0F"/>
    <w:rsid w:val="6EDA67B7"/>
    <w:rsid w:val="701A2B56"/>
    <w:rsid w:val="704D7528"/>
    <w:rsid w:val="71B10BB3"/>
    <w:rsid w:val="72DE252E"/>
    <w:rsid w:val="742B1355"/>
    <w:rsid w:val="783719CD"/>
    <w:rsid w:val="7E4D7E1D"/>
    <w:rsid w:val="7EE904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unhideWhenUsed/>
    <w:uiPriority w:val="99"/>
    <w:pPr>
      <w:jc w:val="left"/>
    </w:pPr>
    <w:rPr>
      <w:rFonts w:ascii="Times New Roman" w:hAnsi="Times New Roman"/>
      <w:szCs w:val="24"/>
    </w:rPr>
  </w:style>
  <w:style w:type="paragraph" w:styleId="3">
    <w:name w:val="Balloon Text"/>
    <w:basedOn w:val="1"/>
    <w:link w:val="11"/>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annotation reference"/>
    <w:basedOn w:val="6"/>
    <w:unhideWhenUsed/>
    <w:qFormat/>
    <w:uiPriority w:val="99"/>
    <w:rPr>
      <w:sz w:val="21"/>
      <w:szCs w:val="21"/>
    </w:rPr>
  </w:style>
  <w:style w:type="character" w:customStyle="1" w:styleId="9">
    <w:name w:val="批注文字 Char"/>
    <w:basedOn w:val="6"/>
    <w:qFormat/>
    <w:uiPriority w:val="99"/>
    <w:rPr>
      <w:rFonts w:ascii="Times New Roman" w:hAnsi="Times New Roman"/>
      <w:szCs w:val="24"/>
    </w:rPr>
  </w:style>
  <w:style w:type="character" w:customStyle="1" w:styleId="10">
    <w:name w:val="批注文字 Char1"/>
    <w:basedOn w:val="6"/>
    <w:link w:val="2"/>
    <w:semiHidden/>
    <w:qFormat/>
    <w:uiPriority w:val="99"/>
  </w:style>
  <w:style w:type="character" w:customStyle="1" w:styleId="11">
    <w:name w:val="批注框文本 Char"/>
    <w:basedOn w:val="6"/>
    <w:link w:val="3"/>
    <w:semiHidden/>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页眉 Char"/>
    <w:basedOn w:val="6"/>
    <w:link w:val="5"/>
    <w:semiHidden/>
    <w:qFormat/>
    <w:uiPriority w:val="99"/>
    <w:rPr>
      <w:kern w:val="2"/>
      <w:sz w:val="18"/>
      <w:szCs w:val="18"/>
    </w:rPr>
  </w:style>
  <w:style w:type="character" w:customStyle="1" w:styleId="14">
    <w:name w:val="页脚 Char"/>
    <w:basedOn w:val="6"/>
    <w:link w:val="4"/>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A76932-B876-492D-B907-D7DE7FC974FD}">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106</Words>
  <Characters>607</Characters>
  <Lines>5</Lines>
  <Paragraphs>1</Paragraphs>
  <TotalTime>1</TotalTime>
  <ScaleCrop>false</ScaleCrop>
  <LinksUpToDate>false</LinksUpToDate>
  <CharactersWithSpaces>712</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2020-04-28T02:48:00Z</dcterms:created>
  <dc:creator>时乐/综合处/稽查局/国家局/sda</dc:creator>
  <cp:lastModifiedBy>user</cp:lastModifiedBy>
  <dcterms:modified xsi:type="dcterms:W3CDTF">2020-04-29T12:23:31Z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